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9D" w:rsidRDefault="00342A16">
      <w:bookmarkStart w:id="0" w:name="_GoBack"/>
      <w:r w:rsidRPr="00342A16">
        <w:rPr>
          <w:noProof/>
          <w:lang w:eastAsia="ru-RU"/>
        </w:rPr>
        <w:drawing>
          <wp:inline distT="0" distB="0" distL="0" distR="0">
            <wp:extent cx="9944347" cy="69351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0499D" w:rsidSect="00342A16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A16"/>
    <w:rsid w:val="00342A16"/>
    <w:rsid w:val="00361B23"/>
    <w:rsid w:val="005E1C77"/>
    <w:rsid w:val="006D1A27"/>
    <w:rsid w:val="007D1D40"/>
    <w:rsid w:val="00B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tter3\&#1056;&#1072;&#1073;&#1086;&#1095;&#1080;&#1081;%20&#1089;&#1090;&#1086;&#1083;\&#1087;&#1086;&#1083;&#1091;&#1075;&#1086;&#1076;&#1080;&#1077;%202014\1%20&#1074;&#1080;&#1076;&#1099;%20&#1089;&#1074;&#1103;&#1079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                                                                                                           Приложение 1</a:t>
            </a:r>
          </a:p>
          <a:p>
            <a:pPr>
              <a:defRPr sz="1600"/>
            </a:pPr>
            <a:r>
              <a:rPr lang="ru-RU" sz="1600"/>
              <a:t> 
Данные по видам связи, через которые поступили обращения граждан в Государственный Совет Республики Татарстан в первом</a:t>
            </a:r>
            <a:r>
              <a:rPr lang="en-US" sz="1600"/>
              <a:t> </a:t>
            </a:r>
            <a:r>
              <a:rPr lang="ru-RU" sz="1600"/>
              <a:t>полугодии 2014 </a:t>
            </a:r>
          </a:p>
        </c:rich>
      </c:tx>
      <c:layout>
        <c:manualLayout>
          <c:xMode val="edge"/>
          <c:yMode val="edge"/>
          <c:x val="0.16565288140040399"/>
          <c:y val="2.21713998963205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438469493278229"/>
          <c:y val="0.22711864406779678"/>
          <c:w val="0.43123061013443642"/>
          <c:h val="0.70677966101694911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7456961623333792"/>
                  <c:y val="-7.5499088037724107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Электронная почта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1318 (68,6%)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2665350456143"/>
                  <c:y val="7.3327479131790191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Интернет-приемная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30 (1,5%)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444169401265382"/>
                  <c:y val="-7.3617153787980411E-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Почта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176 (9%)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137071930124545"/>
                  <c:y val="-4.282717202722542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Личный прием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281 (14,6%)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503388731010491"/>
                  <c:y val="-0.1146871302104186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На руки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 96 (5%)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110043509297628"/>
                  <c:y val="-0.13897842430713125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Другие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19 (1%)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Лист1!$A$1:$A$6</c:f>
              <c:strCache>
                <c:ptCount val="6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Почта</c:v>
                </c:pt>
                <c:pt idx="3">
                  <c:v>Личный прием</c:v>
                </c:pt>
                <c:pt idx="4">
                  <c:v>На руки</c:v>
                </c:pt>
                <c:pt idx="5">
                  <c:v>Другие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1318</c:v>
                </c:pt>
                <c:pt idx="1">
                  <c:v>30</c:v>
                </c:pt>
                <c:pt idx="2">
                  <c:v>176</c:v>
                </c:pt>
                <c:pt idx="3">
                  <c:v>281</c:v>
                </c:pt>
                <c:pt idx="4">
                  <c:v>96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ГС РТ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Эльза Гарафутдиновна</dc:creator>
  <cp:keywords/>
  <dc:description/>
  <cp:lastModifiedBy>Залялова Гульнар Харисовна</cp:lastModifiedBy>
  <cp:revision>4</cp:revision>
  <cp:lastPrinted>2014-06-30T08:11:00Z</cp:lastPrinted>
  <dcterms:created xsi:type="dcterms:W3CDTF">2014-06-30T08:03:00Z</dcterms:created>
  <dcterms:modified xsi:type="dcterms:W3CDTF">2014-07-01T13:49:00Z</dcterms:modified>
</cp:coreProperties>
</file>