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6D" w:rsidRDefault="003D1F6D" w:rsidP="003D1F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B67E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D1F6D" w:rsidRPr="001B67EB" w:rsidRDefault="003D1F6D" w:rsidP="003D1F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по тематике обращений, поступивших в адрес депутатов </w:t>
      </w:r>
    </w:p>
    <w:p w:rsidR="003D1F6D" w:rsidRPr="001B67EB" w:rsidRDefault="003D1F6D" w:rsidP="003D1F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>Государственного Совета Республики Татарстан в 2014 и 2015 гг.</w:t>
      </w:r>
    </w:p>
    <w:p w:rsidR="003D1F6D" w:rsidRDefault="003D1F6D">
      <w:r w:rsidRPr="003D1F6D">
        <w:rPr>
          <w:noProof/>
          <w:lang w:eastAsia="ru-RU"/>
        </w:rPr>
        <w:drawing>
          <wp:inline distT="0" distB="0" distL="0" distR="0">
            <wp:extent cx="9356962" cy="5322627"/>
            <wp:effectExtent l="19050" t="0" r="1563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D1F6D" w:rsidSect="003D1F6D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6D"/>
    <w:rsid w:val="001B67EB"/>
    <w:rsid w:val="003D1F6D"/>
    <w:rsid w:val="00BC673B"/>
    <w:rsid w:val="00CD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\data\USERS\OTDPISEM\&#1044;&#1048;&#1040;&#1043;&#1056;&#1040;&#1052;&#1052;&#1067;%20&#1054;&#1058;&#1063;&#1045;&#1058;%202015\xls%202013\7%20&#1058;&#1077;&#1084;&#1072;&#1090;&#108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1392</c:v>
                </c:pt>
                <c:pt idx="1">
                  <c:v>735</c:v>
                </c:pt>
                <c:pt idx="2">
                  <c:v>592</c:v>
                </c:pt>
                <c:pt idx="3">
                  <c:v>1038</c:v>
                </c:pt>
                <c:pt idx="4">
                  <c:v>2446</c:v>
                </c:pt>
                <c:pt idx="5">
                  <c:v>1010</c:v>
                </c:pt>
                <c:pt idx="6">
                  <c:v>620</c:v>
                </c:pt>
                <c:pt idx="7">
                  <c:v>1166</c:v>
                </c:pt>
                <c:pt idx="8">
                  <c:v>972</c:v>
                </c:pt>
                <c:pt idx="9">
                  <c:v>1569</c:v>
                </c:pt>
                <c:pt idx="10">
                  <c:v>719</c:v>
                </c:pt>
                <c:pt idx="11">
                  <c:v>970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1588</c:v>
                </c:pt>
                <c:pt idx="1">
                  <c:v>787</c:v>
                </c:pt>
                <c:pt idx="2">
                  <c:v>526</c:v>
                </c:pt>
                <c:pt idx="3">
                  <c:v>924</c:v>
                </c:pt>
                <c:pt idx="4">
                  <c:v>1841</c:v>
                </c:pt>
                <c:pt idx="5">
                  <c:v>1074</c:v>
                </c:pt>
                <c:pt idx="6">
                  <c:v>363</c:v>
                </c:pt>
                <c:pt idx="7">
                  <c:v>1275</c:v>
                </c:pt>
                <c:pt idx="8">
                  <c:v>1099</c:v>
                </c:pt>
                <c:pt idx="9">
                  <c:v>1494</c:v>
                </c:pt>
                <c:pt idx="10">
                  <c:v>704</c:v>
                </c:pt>
                <c:pt idx="11">
                  <c:v>1765</c:v>
                </c:pt>
              </c:numCache>
            </c:numRef>
          </c:val>
        </c:ser>
        <c:axId val="112591616"/>
        <c:axId val="112593152"/>
      </c:barChart>
      <c:catAx>
        <c:axId val="112591616"/>
        <c:scaling>
          <c:orientation val="minMax"/>
        </c:scaling>
        <c:axPos val="b"/>
        <c:numFmt formatCode="General" sourceLinked="1"/>
        <c:tickLblPos val="nextTo"/>
        <c:crossAx val="112593152"/>
        <c:crosses val="autoZero"/>
        <c:auto val="1"/>
        <c:lblAlgn val="ctr"/>
        <c:lblOffset val="100"/>
      </c:catAx>
      <c:valAx>
        <c:axId val="112593152"/>
        <c:scaling>
          <c:orientation val="minMax"/>
        </c:scaling>
        <c:axPos val="l"/>
        <c:majorGridlines/>
        <c:numFmt formatCode="General" sourceLinked="1"/>
        <c:tickLblPos val="nextTo"/>
        <c:crossAx val="1125916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bedretdinov.ilnur</cp:lastModifiedBy>
  <cp:revision>2</cp:revision>
  <dcterms:created xsi:type="dcterms:W3CDTF">2016-01-22T06:33:00Z</dcterms:created>
  <dcterms:modified xsi:type="dcterms:W3CDTF">2016-01-22T06:33:00Z</dcterms:modified>
</cp:coreProperties>
</file>